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634A6A">
        <w:rPr>
          <w:rFonts w:ascii="Calibri" w:hAnsi="Calibri" w:cs="Arial"/>
          <w:b/>
          <w:bCs/>
          <w:iCs/>
          <w:color w:val="7F7F7F" w:themeColor="text1" w:themeTint="80"/>
          <w:sz w:val="26"/>
          <w:szCs w:val="26"/>
        </w:rPr>
        <w:t>17 diecisiete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634A6A">
        <w:rPr>
          <w:rFonts w:ascii="Calibri" w:hAnsi="Calibri" w:cs="Arial"/>
          <w:b/>
          <w:color w:val="7F7F7F" w:themeColor="text1" w:themeTint="80"/>
          <w:sz w:val="26"/>
          <w:szCs w:val="26"/>
        </w:rPr>
        <w:t>774/2015-JN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6E062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5F287E">
        <w:rPr>
          <w:rFonts w:ascii="Calibri" w:hAnsi="Calibri" w:cs="Arial"/>
          <w:color w:val="7F7F7F" w:themeColor="text1" w:themeTint="80"/>
          <w:sz w:val="26"/>
          <w:szCs w:val="26"/>
        </w:rPr>
        <w:t xml:space="preserve">.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00E6049F">
        <w:rPr>
          <w:rFonts w:ascii="Calibri" w:hAnsi="Calibri" w:cs="Arial"/>
          <w:color w:val="7F7F7F" w:themeColor="text1" w:themeTint="80"/>
          <w:sz w:val="26"/>
          <w:szCs w:val="26"/>
        </w:rPr>
        <w:t xml:space="preserve"> de los actos impugnados;</w:t>
      </w:r>
      <w:r w:rsidRPr="00BF5CA7">
        <w:rPr>
          <w:rFonts w:ascii="Calibri" w:hAnsi="Calibri" w:cs="Arial"/>
          <w:color w:val="7F7F7F" w:themeColor="text1" w:themeTint="80"/>
          <w:sz w:val="26"/>
          <w:szCs w:val="26"/>
        </w:rPr>
        <w:t xml:space="preserve">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34A6A">
        <w:rPr>
          <w:rFonts w:ascii="Calibri" w:hAnsi="Calibri" w:cs="Arial"/>
          <w:color w:val="7F7F7F" w:themeColor="text1" w:themeTint="80"/>
          <w:sz w:val="26"/>
          <w:szCs w:val="26"/>
        </w:rPr>
        <w:t>19 diecinueve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9B62F8">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652205" w:rsidRDefault="004B3DFC" w:rsidP="00652205">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del acta de visita de inspección</w:t>
      </w:r>
      <w:r w:rsidR="009A62DD">
        <w:rPr>
          <w:rFonts w:ascii="Calibri" w:hAnsi="Calibri"/>
          <w:color w:val="7F7F7F" w:themeColor="text1" w:themeTint="80"/>
          <w:sz w:val="26"/>
          <w:szCs w:val="26"/>
        </w:rPr>
        <w:t xml:space="preserve"> y</w:t>
      </w:r>
      <w:r w:rsidR="00331F7C">
        <w:rPr>
          <w:rFonts w:ascii="Calibri" w:hAnsi="Calibri"/>
          <w:color w:val="7F7F7F" w:themeColor="text1" w:themeTint="80"/>
          <w:sz w:val="26"/>
          <w:szCs w:val="26"/>
        </w:rPr>
        <w:t xml:space="preserve"> de la orden de clausura</w:t>
      </w:r>
      <w:r w:rsidR="000022A1">
        <w:rPr>
          <w:rFonts w:ascii="Calibri" w:hAnsi="Calibri"/>
          <w:color w:val="7F7F7F" w:themeColor="text1" w:themeTint="80"/>
          <w:sz w:val="26"/>
          <w:szCs w:val="26"/>
        </w:rPr>
        <w:t xml:space="preserve">. Documentos todos de </w:t>
      </w:r>
      <w:r w:rsidR="000022A1">
        <w:rPr>
          <w:rFonts w:ascii="Calibri" w:hAnsi="Calibri" w:cs="Calibri"/>
          <w:color w:val="7F7F7F" w:themeColor="text1" w:themeTint="80"/>
          <w:sz w:val="26"/>
          <w:szCs w:val="26"/>
        </w:rPr>
        <w:t xml:space="preserve">fecha </w:t>
      </w:r>
      <w:r w:rsidR="00634A6A">
        <w:rPr>
          <w:rFonts w:ascii="Calibri" w:hAnsi="Calibri" w:cs="Calibri"/>
          <w:color w:val="7F7F7F" w:themeColor="text1" w:themeTint="80"/>
          <w:sz w:val="26"/>
          <w:szCs w:val="26"/>
        </w:rPr>
        <w:t>19 diecinueve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634A6A">
        <w:rPr>
          <w:rFonts w:ascii="Calibri" w:hAnsi="Calibri"/>
          <w:color w:val="7F7F7F" w:themeColor="text1" w:themeTint="80"/>
          <w:sz w:val="26"/>
          <w:szCs w:val="26"/>
        </w:rPr>
        <w:t>0514</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9A62DD">
        <w:rPr>
          <w:rFonts w:ascii="Calibri" w:hAnsi="Calibri" w:cs="Calibri"/>
          <w:color w:val="7F7F7F" w:themeColor="text1" w:themeTint="80"/>
          <w:sz w:val="26"/>
          <w:szCs w:val="26"/>
        </w:rPr>
        <w:t xml:space="preserve">1 </w:t>
      </w:r>
    </w:p>
    <w:p w:rsidR="00652205" w:rsidRDefault="00652205" w:rsidP="0065220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774/2015-JN</w:t>
      </w:r>
    </w:p>
    <w:p w:rsidR="00652205" w:rsidRDefault="00652205" w:rsidP="00652205">
      <w:pPr>
        <w:ind w:firstLine="708"/>
        <w:jc w:val="both"/>
        <w:rPr>
          <w:rFonts w:ascii="Calibri" w:hAnsi="Calibri" w:cs="Calibri"/>
          <w:color w:val="7F7F7F" w:themeColor="text1" w:themeTint="80"/>
          <w:sz w:val="26"/>
          <w:szCs w:val="26"/>
        </w:rPr>
      </w:pPr>
    </w:p>
    <w:p w:rsidR="004B3DFC" w:rsidRDefault="009A62DD" w:rsidP="00652205">
      <w:pPr>
        <w:jc w:val="both"/>
        <w:rPr>
          <w:rFonts w:ascii="Calibri" w:hAnsi="Calibri"/>
          <w:color w:val="7F7F7F" w:themeColor="text1" w:themeTint="80"/>
          <w:sz w:val="26"/>
          <w:szCs w:val="26"/>
        </w:rPr>
      </w:pPr>
      <w:r>
        <w:rPr>
          <w:rFonts w:ascii="Calibri" w:hAnsi="Calibri" w:cs="Calibri"/>
          <w:color w:val="7F7F7F" w:themeColor="text1" w:themeTint="80"/>
          <w:sz w:val="26"/>
          <w:szCs w:val="26"/>
        </w:rPr>
        <w:t>on</w:t>
      </w:r>
      <w:r w:rsidR="000022A1">
        <w:rPr>
          <w:rFonts w:ascii="Calibri" w:hAnsi="Calibri" w:cs="Calibri"/>
          <w:color w:val="7F7F7F" w:themeColor="text1" w:themeTint="80"/>
          <w:sz w:val="26"/>
          <w:szCs w:val="26"/>
        </w:rPr>
        <w:t>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331F7C">
        <w:rPr>
          <w:rFonts w:ascii="Calibri" w:hAnsi="Calibri"/>
          <w:color w:val="7F7F7F" w:themeColor="text1" w:themeTint="80"/>
          <w:sz w:val="26"/>
          <w:szCs w:val="26"/>
        </w:rPr>
        <w:t>que la dependencia a su cargo llevo a cabo las actuaciones relativas al expediente líneas arriba citado</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652205">
        <w:rPr>
          <w:rFonts w:ascii="Calibri" w:hAnsi="Calibri"/>
          <w:color w:val="7F7F7F" w:themeColor="text1" w:themeTint="80"/>
          <w:sz w:val="26"/>
          <w:szCs w:val="26"/>
        </w:rPr>
        <w:t xml:space="preserve"> . . . . . . . . . . . . </w:t>
      </w:r>
    </w:p>
    <w:p w:rsidR="00AA3413" w:rsidRDefault="00AA3413" w:rsidP="00E31BEB">
      <w:pPr>
        <w:jc w:val="both"/>
        <w:rPr>
          <w:rFonts w:ascii="Calibri" w:hAnsi="Calibri"/>
          <w:color w:val="7F7F7F" w:themeColor="text1" w:themeTint="80"/>
          <w:sz w:val="26"/>
          <w:szCs w:val="26"/>
        </w:rPr>
      </w:pPr>
    </w:p>
    <w:p w:rsidR="00AA3413" w:rsidRPr="00576DB9" w:rsidRDefault="00AA3413" w:rsidP="00E31BEB">
      <w:pPr>
        <w:jc w:val="both"/>
        <w:rPr>
          <w:rFonts w:ascii="Calibri" w:hAnsi="Calibri"/>
          <w:color w:val="7F7F7F" w:themeColor="text1" w:themeTint="80"/>
          <w:sz w:val="26"/>
          <w:szCs w:val="26"/>
        </w:rPr>
      </w:pPr>
      <w:r>
        <w:rPr>
          <w:rFonts w:ascii="Calibri" w:hAnsi="Calibri"/>
          <w:color w:val="7F7F7F" w:themeColor="text1" w:themeTint="80"/>
          <w:sz w:val="26"/>
          <w:szCs w:val="26"/>
        </w:rPr>
        <w:tab/>
        <w:t>Por lo que hace, a</w:t>
      </w:r>
      <w:r w:rsidR="00ED20A3">
        <w:rPr>
          <w:rFonts w:ascii="Calibri" w:hAnsi="Calibri"/>
          <w:color w:val="7F7F7F" w:themeColor="text1" w:themeTint="80"/>
          <w:sz w:val="26"/>
          <w:szCs w:val="26"/>
        </w:rPr>
        <w:t xml:space="preserve">l acto relativo </w:t>
      </w:r>
      <w:r w:rsidR="00212176">
        <w:rPr>
          <w:rFonts w:ascii="Calibri" w:hAnsi="Calibri"/>
          <w:color w:val="7F7F7F" w:themeColor="text1" w:themeTint="80"/>
          <w:sz w:val="26"/>
          <w:szCs w:val="26"/>
        </w:rPr>
        <w:t xml:space="preserve">al Acta circunstanciada de fijación de sellos de clausura, se presume, legal y humanamente, su existencia al </w:t>
      </w:r>
      <w:r w:rsidR="00576DB9" w:rsidRPr="00576DB9">
        <w:rPr>
          <w:rFonts w:ascii="Calibri" w:hAnsi="Calibri"/>
          <w:b/>
          <w:color w:val="7F7F7F" w:themeColor="text1" w:themeTint="80"/>
          <w:sz w:val="26"/>
          <w:szCs w:val="26"/>
        </w:rPr>
        <w:t>reconocer</w:t>
      </w:r>
      <w:r w:rsidR="00576DB9">
        <w:rPr>
          <w:rFonts w:ascii="Calibri" w:hAnsi="Calibri"/>
          <w:color w:val="7F7F7F" w:themeColor="text1" w:themeTint="80"/>
          <w:sz w:val="26"/>
          <w:szCs w:val="26"/>
        </w:rPr>
        <w:t xml:space="preserve">,  expresamente, el Director demandado, en su contestación de demanda, que fue </w:t>
      </w:r>
      <w:r w:rsidR="00576DB9">
        <w:rPr>
          <w:rFonts w:ascii="Calibri" w:hAnsi="Calibri"/>
          <w:color w:val="7F7F7F" w:themeColor="text1" w:themeTint="80"/>
          <w:sz w:val="26"/>
          <w:szCs w:val="26"/>
        </w:rPr>
        <w:lastRenderedPageBreak/>
        <w:t xml:space="preserve">procedente la ejecución de la orden de clausura así como </w:t>
      </w:r>
      <w:r w:rsidR="00576DB9" w:rsidRPr="00576DB9">
        <w:rPr>
          <w:rFonts w:ascii="Calibri" w:hAnsi="Calibri"/>
          <w:color w:val="7F7F7F" w:themeColor="text1" w:themeTint="80"/>
          <w:sz w:val="26"/>
          <w:szCs w:val="26"/>
          <w:u w:val="single"/>
        </w:rPr>
        <w:t>la fijación de sellos de clausura</w:t>
      </w:r>
      <w:r w:rsidR="00576DB9">
        <w:rPr>
          <w:rFonts w:ascii="Calibri" w:hAnsi="Calibri"/>
          <w:color w:val="7F7F7F" w:themeColor="text1" w:themeTint="80"/>
          <w:sz w:val="26"/>
          <w:szCs w:val="26"/>
        </w:rPr>
        <w:t xml:space="preserve"> (apreciable en el inciso c de la foja 21 veintiuno). . . . .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FE0434">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 la causal prevista en el artículo 261, en su</w:t>
      </w:r>
      <w:r w:rsidR="00B62C7B">
        <w:rPr>
          <w:rFonts w:ascii="Calibri" w:hAnsi="Calibri"/>
          <w:bCs/>
          <w:iCs/>
          <w:color w:val="7F7F7F" w:themeColor="text1" w:themeTint="80"/>
          <w:sz w:val="26"/>
          <w:szCs w:val="26"/>
        </w:rPr>
        <w:t xml:space="preserve"> fracció</w:t>
      </w:r>
      <w:r w:rsidRPr="00781737">
        <w:rPr>
          <w:rFonts w:ascii="Calibri" w:hAnsi="Calibri"/>
          <w:bCs/>
          <w:iCs/>
          <w:color w:val="7F7F7F" w:themeColor="text1" w:themeTint="80"/>
          <w:sz w:val="26"/>
          <w:szCs w:val="26"/>
        </w:rPr>
        <w:t>n I, concatenada con el artículo 251,</w:t>
      </w:r>
      <w:r w:rsidR="00B62C7B">
        <w:rPr>
          <w:rFonts w:ascii="Calibri" w:hAnsi="Calibri"/>
          <w:bCs/>
          <w:iCs/>
          <w:color w:val="7F7F7F" w:themeColor="text1" w:themeTint="80"/>
          <w:sz w:val="26"/>
          <w:szCs w:val="26"/>
        </w:rPr>
        <w:t xml:space="preserve"> fracción I, inciso a);</w:t>
      </w:r>
      <w:r w:rsidRPr="00781737">
        <w:rPr>
          <w:rFonts w:ascii="Calibri" w:hAnsi="Calibri"/>
          <w:bCs/>
          <w:iCs/>
          <w:color w:val="7F7F7F" w:themeColor="text1" w:themeTint="80"/>
          <w:sz w:val="26"/>
          <w:szCs w:val="26"/>
        </w:rPr>
        <w:t xml:space="preserve"> del Código de Procedimiento y Justicia Administrativa antes citado; al referir, </w:t>
      </w:r>
      <w:r w:rsidR="00B62C7B" w:rsidRPr="00B62C7B">
        <w:rPr>
          <w:rFonts w:ascii="Calibri" w:hAnsi="Calibri"/>
          <w:bCs/>
          <w:i/>
          <w:iCs/>
          <w:color w:val="7F7F7F" w:themeColor="text1" w:themeTint="80"/>
          <w:sz w:val="26"/>
          <w:szCs w:val="26"/>
        </w:rPr>
        <w:t>“</w:t>
      </w:r>
      <w:r w:rsidRPr="00B62C7B">
        <w:rPr>
          <w:rFonts w:ascii="Calibri" w:hAnsi="Calibri"/>
          <w:bCs/>
          <w:i/>
          <w:iCs/>
          <w:color w:val="7F7F7F" w:themeColor="text1" w:themeTint="80"/>
          <w:sz w:val="26"/>
          <w:szCs w:val="26"/>
        </w:rPr>
        <w:t>grosso modo</w:t>
      </w:r>
      <w:r w:rsidR="00B62C7B">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8A3C6D">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 de improcedencia que, para quien resuelve, </w:t>
      </w:r>
      <w:r w:rsidRPr="00781737">
        <w:rPr>
          <w:rFonts w:ascii="Calibri" w:hAnsi="Calibri"/>
          <w:b/>
          <w:bCs/>
          <w:iCs/>
          <w:color w:val="7F7F7F" w:themeColor="text1" w:themeTint="80"/>
          <w:sz w:val="26"/>
          <w:szCs w:val="26"/>
        </w:rPr>
        <w:t>no se actualiza</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634A6A">
        <w:rPr>
          <w:rFonts w:ascii="Calibri" w:hAnsi="Calibri"/>
          <w:bCs/>
          <w:iCs/>
          <w:color w:val="7F7F7F" w:themeColor="text1" w:themeTint="80"/>
          <w:sz w:val="26"/>
          <w:szCs w:val="26"/>
        </w:rPr>
        <w:t>0514</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576DB9">
        <w:rPr>
          <w:rFonts w:ascii="Calibri" w:hAnsi="Calibri"/>
          <w:bCs/>
          <w:iCs/>
          <w:color w:val="7F7F7F" w:themeColor="text1" w:themeTint="80"/>
          <w:sz w:val="26"/>
          <w:szCs w:val="26"/>
        </w:rPr>
        <w:t>eventualmente, se le podría imponer</w:t>
      </w:r>
      <w:r w:rsidR="00FC2859">
        <w:rPr>
          <w:rFonts w:ascii="Calibri" w:hAnsi="Calibri"/>
          <w:bCs/>
          <w:iCs/>
          <w:color w:val="7F7F7F" w:themeColor="text1" w:themeTint="80"/>
          <w:sz w:val="26"/>
          <w:szCs w:val="26"/>
        </w:rPr>
        <w:t xml:space="preserve"> una </w:t>
      </w:r>
      <w:r w:rsidR="008A3C6D">
        <w:rPr>
          <w:rFonts w:ascii="Calibri" w:hAnsi="Calibri"/>
          <w:bCs/>
          <w:iCs/>
          <w:color w:val="7F7F7F" w:themeColor="text1" w:themeTint="80"/>
          <w:sz w:val="26"/>
          <w:szCs w:val="26"/>
        </w:rPr>
        <w:t>sanción;</w:t>
      </w:r>
      <w:r w:rsidRPr="00781737">
        <w:rPr>
          <w:rFonts w:ascii="Calibri" w:hAnsi="Calibri"/>
          <w:bCs/>
          <w:iCs/>
          <w:color w:val="7F7F7F" w:themeColor="text1" w:themeTint="80"/>
          <w:sz w:val="26"/>
          <w:szCs w:val="26"/>
        </w:rPr>
        <w:t xml:space="preserve"> además de que se clausuró un</w:t>
      </w:r>
      <w:r w:rsidR="00576DB9">
        <w:rPr>
          <w:rFonts w:ascii="Calibri" w:hAnsi="Calibri"/>
          <w:bCs/>
          <w:iCs/>
          <w:color w:val="7F7F7F" w:themeColor="text1" w:themeTint="80"/>
          <w:sz w:val="26"/>
          <w:szCs w:val="26"/>
        </w:rPr>
        <w:t xml:space="preserve"> bien mueble </w:t>
      </w:r>
      <w:r w:rsidRPr="00781737">
        <w:rPr>
          <w:rFonts w:ascii="Calibri" w:hAnsi="Calibri"/>
          <w:bCs/>
          <w:iCs/>
          <w:color w:val="7F7F7F" w:themeColor="text1" w:themeTint="80"/>
          <w:sz w:val="26"/>
          <w:szCs w:val="26"/>
        </w:rPr>
        <w:t xml:space="preserve">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8A3C6D">
        <w:rPr>
          <w:rFonts w:ascii="Calibri" w:hAnsi="Calibri"/>
          <w:bCs/>
          <w:iCs/>
          <w:color w:val="7F7F7F" w:themeColor="text1" w:themeTint="80"/>
          <w:sz w:val="26"/>
          <w:szCs w:val="26"/>
        </w:rPr>
        <w:t xml:space="preserve"> . . . . . . . . . . . . . . . . . .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w:t>
      </w:r>
      <w:r w:rsidR="00645D47">
        <w:rPr>
          <w:rFonts w:ascii="Calibri" w:hAnsi="Calibri"/>
          <w:bCs/>
          <w:iCs/>
          <w:color w:val="7F7F7F" w:themeColor="text1" w:themeTint="80"/>
          <w:sz w:val="26"/>
          <w:szCs w:val="26"/>
        </w:rPr>
        <w:t>a presente causa administrativa;</w:t>
      </w:r>
      <w:r w:rsidRPr="00E50512">
        <w:rPr>
          <w:rFonts w:ascii="Calibri" w:hAnsi="Calibri"/>
          <w:bCs/>
          <w:iCs/>
          <w:color w:val="7F7F7F" w:themeColor="text1" w:themeTint="80"/>
          <w:sz w:val="26"/>
          <w:szCs w:val="26"/>
        </w:rPr>
        <w:t xml:space="preserve">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r w:rsidR="00645D47">
        <w:rPr>
          <w:rFonts w:ascii="Calibri" w:hAnsi="Calibri"/>
          <w:bCs/>
          <w:iCs/>
          <w:color w:val="7F7F7F" w:themeColor="text1" w:themeTint="80"/>
          <w:sz w:val="26"/>
          <w:szCs w:val="26"/>
        </w:rPr>
        <w:t xml:space="preserve">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w:t>
      </w:r>
      <w:r w:rsidRPr="00BF5CA7">
        <w:rPr>
          <w:rFonts w:ascii="Calibri" w:hAnsi="Calibri" w:cs="Arial"/>
          <w:color w:val="7F7F7F" w:themeColor="text1" w:themeTint="80"/>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r w:rsidR="00645D47">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634A6A">
        <w:rPr>
          <w:rFonts w:ascii="Calibri" w:hAnsi="Calibri"/>
          <w:color w:val="7F7F7F" w:themeColor="text1" w:themeTint="80"/>
          <w:sz w:val="26"/>
          <w:szCs w:val="26"/>
        </w:rPr>
        <w:t>19 diecinueve de agosto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634A6A">
        <w:rPr>
          <w:rFonts w:ascii="Calibri" w:hAnsi="Calibri"/>
          <w:color w:val="7F7F7F" w:themeColor="text1" w:themeTint="80"/>
          <w:sz w:val="26"/>
          <w:szCs w:val="26"/>
        </w:rPr>
        <w:t>0514</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w:t>
      </w:r>
      <w:r w:rsidR="00E5089A">
        <w:rPr>
          <w:rFonts w:ascii="Calibri" w:hAnsi="Calibri"/>
          <w:color w:val="7F7F7F" w:themeColor="text1" w:themeTint="80"/>
          <w:sz w:val="26"/>
          <w:szCs w:val="26"/>
        </w:rPr>
        <w:t xml:space="preserve">entonces </w:t>
      </w:r>
      <w:r w:rsidR="00202A4D">
        <w:rPr>
          <w:rFonts w:ascii="Calibri" w:hAnsi="Calibri"/>
          <w:color w:val="7F7F7F" w:themeColor="text1" w:themeTint="80"/>
          <w:sz w:val="26"/>
          <w:szCs w:val="26"/>
        </w:rPr>
        <w:t>Director General de Fiscalización y Control</w:t>
      </w:r>
      <w:r w:rsidR="00E5089A">
        <w:rPr>
          <w:rFonts w:ascii="Calibri" w:hAnsi="Calibri"/>
          <w:color w:val="7F7F7F" w:themeColor="text1" w:themeTint="80"/>
          <w:sz w:val="26"/>
          <w:szCs w:val="26"/>
        </w:rPr>
        <w:t>,</w:t>
      </w:r>
      <w:r w:rsidR="00202A4D">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6E062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6422C5">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r w:rsidR="00E5089A">
        <w:rPr>
          <w:rFonts w:ascii="Calibri" w:hAnsi="Calibri"/>
          <w:color w:val="7F7F7F" w:themeColor="text1" w:themeTint="80"/>
          <w:sz w:val="26"/>
          <w:szCs w:val="26"/>
        </w:rPr>
        <w:t xml:space="preserve">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E5089A">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E5089A" w:rsidRPr="00BF5CA7" w:rsidRDefault="00E5089A" w:rsidP="004B3DFC">
      <w:pPr>
        <w:pStyle w:val="Textoindependiente"/>
        <w:tabs>
          <w:tab w:val="left" w:pos="3594"/>
        </w:tabs>
        <w:rPr>
          <w:rFonts w:ascii="Calibri" w:hAnsi="Calibri" w:cs="Calibri"/>
          <w:iCs/>
          <w:color w:val="7F7F7F" w:themeColor="text1" w:themeTint="80"/>
          <w:sz w:val="26"/>
          <w:szCs w:val="26"/>
        </w:rPr>
      </w:pPr>
    </w:p>
    <w:p w:rsidR="003B6298"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3B6298">
        <w:rPr>
          <w:rFonts w:ascii="Calibri" w:hAnsi="Calibri" w:cs="Calibri"/>
          <w:i/>
          <w:color w:val="7F7F7F" w:themeColor="text1" w:themeTint="80"/>
          <w:sz w:val="26"/>
          <w:szCs w:val="26"/>
        </w:rPr>
        <w:t>“</w:t>
      </w:r>
      <w:proofErr w:type="spellStart"/>
      <w:r w:rsidRPr="003B6298">
        <w:rPr>
          <w:rFonts w:ascii="Calibri" w:hAnsi="Calibri" w:cs="Calibri"/>
          <w:i/>
          <w:color w:val="7F7F7F" w:themeColor="text1" w:themeTint="80"/>
          <w:sz w:val="26"/>
          <w:szCs w:val="26"/>
        </w:rPr>
        <w:t>litis</w:t>
      </w:r>
      <w:proofErr w:type="spellEnd"/>
      <w:r w:rsidRPr="003B6298">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634A6A">
        <w:rPr>
          <w:rFonts w:ascii="Calibri" w:hAnsi="Calibri"/>
          <w:color w:val="7F7F7F" w:themeColor="text1" w:themeTint="80"/>
          <w:sz w:val="26"/>
          <w:szCs w:val="26"/>
        </w:rPr>
        <w:t>19 diecinueve de agosto</w:t>
      </w:r>
      <w:r w:rsidRPr="00BF5CA7">
        <w:rPr>
          <w:rFonts w:ascii="Calibri" w:hAnsi="Calibri"/>
          <w:color w:val="7F7F7F" w:themeColor="text1" w:themeTint="80"/>
          <w:sz w:val="26"/>
          <w:szCs w:val="26"/>
        </w:rPr>
        <w:t xml:space="preserve"> del año 2015 dos mil quince, emitida dentro del expediente con número </w:t>
      </w:r>
    </w:p>
    <w:p w:rsidR="003B6298" w:rsidRDefault="003B6298" w:rsidP="003B629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774/2015-JN</w:t>
      </w:r>
    </w:p>
    <w:p w:rsidR="003B6298" w:rsidRDefault="003B6298" w:rsidP="004B3DFC">
      <w:pPr>
        <w:ind w:firstLine="708"/>
        <w:jc w:val="both"/>
        <w:rPr>
          <w:rFonts w:ascii="Calibri" w:hAnsi="Calibri"/>
          <w:color w:val="7F7F7F" w:themeColor="text1" w:themeTint="80"/>
          <w:sz w:val="26"/>
          <w:szCs w:val="26"/>
        </w:rPr>
      </w:pPr>
    </w:p>
    <w:p w:rsidR="004B3DFC" w:rsidRPr="00BF5CA7" w:rsidRDefault="00781737" w:rsidP="003B6298">
      <w:pPr>
        <w:jc w:val="both"/>
        <w:rPr>
          <w:rFonts w:ascii="Calibri" w:hAnsi="Calibri"/>
          <w:color w:val="7F7F7F" w:themeColor="text1" w:themeTint="80"/>
          <w:sz w:val="26"/>
          <w:szCs w:val="26"/>
        </w:rPr>
      </w:pPr>
      <w:r>
        <w:rPr>
          <w:rFonts w:ascii="Calibri" w:hAnsi="Calibri"/>
          <w:color w:val="7F7F7F" w:themeColor="text1" w:themeTint="80"/>
          <w:sz w:val="26"/>
          <w:szCs w:val="26"/>
        </w:rPr>
        <w:t>DGFC/DT/</w:t>
      </w:r>
      <w:r w:rsidR="00634A6A">
        <w:rPr>
          <w:rFonts w:ascii="Calibri" w:hAnsi="Calibri"/>
          <w:color w:val="7F7F7F" w:themeColor="text1" w:themeTint="80"/>
          <w:sz w:val="26"/>
          <w:szCs w:val="26"/>
        </w:rPr>
        <w:t>0514</w:t>
      </w:r>
      <w:r>
        <w:rPr>
          <w:rFonts w:ascii="Calibri" w:hAnsi="Calibri"/>
          <w:color w:val="7F7F7F" w:themeColor="text1" w:themeTint="80"/>
          <w:sz w:val="26"/>
          <w:szCs w:val="26"/>
        </w:rPr>
        <w:t>/2015/JA</w:t>
      </w:r>
      <w:r w:rsidR="004B3DFC"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004B3DFC"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w:t>
      </w:r>
      <w:r w:rsidR="00576DB9">
        <w:rPr>
          <w:rFonts w:ascii="Calibri" w:hAnsi="Calibri"/>
          <w:color w:val="7F7F7F" w:themeColor="text1" w:themeTint="80"/>
          <w:sz w:val="26"/>
          <w:szCs w:val="26"/>
        </w:rPr>
        <w:t>sobre un bien mueble ubicado</w:t>
      </w:r>
      <w:r w:rsidR="004B3DFC"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r w:rsidR="003B6298">
        <w:rPr>
          <w:rFonts w:ascii="Calibri" w:hAnsi="Calibri" w:cs="Calibri"/>
          <w:iCs/>
          <w:color w:val="7F7F7F" w:themeColor="text1" w:themeTint="80"/>
          <w:sz w:val="26"/>
          <w:szCs w:val="26"/>
        </w:rPr>
        <w:t xml:space="preserve">. . . . . . . . .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761C12">
        <w:rPr>
          <w:rFonts w:ascii="Calibri" w:hAnsi="Calibri" w:cs="Arial"/>
          <w:color w:val="7F7F7F" w:themeColor="text1" w:themeTint="80"/>
          <w:sz w:val="26"/>
          <w:szCs w:val="26"/>
        </w:rPr>
        <w:t xml:space="preserve">.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lastRenderedPageBreak/>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761C12">
        <w:rPr>
          <w:rFonts w:ascii="Calibri" w:hAnsi="Calibri"/>
          <w:i/>
          <w:iCs/>
          <w:color w:val="7F7F7F" w:themeColor="text1" w:themeTint="80"/>
          <w:sz w:val="26"/>
          <w:szCs w:val="26"/>
        </w:rPr>
        <w:t xml:space="preserve">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lastRenderedPageBreak/>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761C12">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761C12" w:rsidRDefault="00706056" w:rsidP="00A8545F">
      <w:pPr>
        <w:pStyle w:val="Default"/>
        <w:ind w:firstLine="708"/>
        <w:jc w:val="both"/>
        <w:rPr>
          <w:rFonts w:asciiTheme="minorHAnsi" w:hAnsiTheme="minorHAns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w:t>
      </w:r>
    </w:p>
    <w:p w:rsidR="00761C12" w:rsidRDefault="00761C12" w:rsidP="00761C1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774/2015-JN</w:t>
      </w:r>
    </w:p>
    <w:p w:rsidR="00761C12" w:rsidRDefault="00761C12" w:rsidP="00A8545F">
      <w:pPr>
        <w:pStyle w:val="Default"/>
        <w:ind w:firstLine="708"/>
        <w:jc w:val="both"/>
        <w:rPr>
          <w:rFonts w:asciiTheme="minorHAnsi" w:hAnsiTheme="minorHAnsi"/>
          <w:color w:val="767171" w:themeColor="background2" w:themeShade="80"/>
          <w:sz w:val="26"/>
          <w:szCs w:val="26"/>
        </w:rPr>
      </w:pPr>
    </w:p>
    <w:p w:rsidR="00833B37" w:rsidRDefault="00A8545F" w:rsidP="00761C12">
      <w:pPr>
        <w:pStyle w:val="Default"/>
        <w:jc w:val="both"/>
        <w:rPr>
          <w:rFonts w:ascii="Calibri" w:hAnsi="Calibri" w:cs="Calibri"/>
          <w:b/>
          <w:color w:val="7F7F7F" w:themeColor="text1" w:themeTint="80"/>
          <w:sz w:val="26"/>
          <w:szCs w:val="26"/>
        </w:rPr>
      </w:pPr>
      <w:proofErr w:type="gramStart"/>
      <w:r w:rsidRPr="00833B37">
        <w:rPr>
          <w:rFonts w:asciiTheme="minorHAnsi" w:hAnsiTheme="minorHAnsi"/>
          <w:color w:val="767171" w:themeColor="background2" w:themeShade="80"/>
          <w:sz w:val="26"/>
          <w:szCs w:val="26"/>
        </w:rPr>
        <w:t>inspección</w:t>
      </w:r>
      <w:proofErr w:type="gramEnd"/>
      <w:r w:rsidRPr="00833B37">
        <w:rPr>
          <w:rFonts w:asciiTheme="minorHAnsi" w:hAnsiTheme="minorHAnsi"/>
          <w:color w:val="767171" w:themeColor="background2" w:themeShade="80"/>
          <w:sz w:val="26"/>
          <w:szCs w:val="26"/>
        </w:rPr>
        <w:t xml:space="preserve">, en materia de </w:t>
      </w:r>
      <w:r w:rsidRPr="00833B37">
        <w:rPr>
          <w:rFonts w:asciiTheme="minorHAnsi" w:hAnsiTheme="minorHAnsi"/>
          <w:i/>
          <w:color w:val="767171" w:themeColor="background2" w:themeShade="80"/>
          <w:sz w:val="26"/>
          <w:szCs w:val="26"/>
        </w:rPr>
        <w:t>“juegos de azar o con cruce de 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xml:space="preserve">, salvo que existiera una convenio de coordinación y colaboración, lo que en la especie no se presenta, pues el Director enjuiciado no aportó ningún medio </w:t>
      </w:r>
      <w:r w:rsidR="00706056" w:rsidRPr="00833B37">
        <w:rPr>
          <w:rFonts w:ascii="Calibri" w:hAnsi="Calibri" w:cs="Calibri"/>
          <w:bCs/>
          <w:iCs/>
          <w:color w:val="767171" w:themeColor="background2" w:themeShade="80"/>
          <w:sz w:val="26"/>
          <w:szCs w:val="26"/>
        </w:rPr>
        <w:lastRenderedPageBreak/>
        <w:t>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72433C">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D148D3">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C35DD4"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 xml:space="preserve">Ahora bien, las atribuciones de la dependencia en cuestión, de </w:t>
      </w:r>
      <w:r w:rsidR="003D0B6B" w:rsidRPr="009661F2">
        <w:rPr>
          <w:rFonts w:ascii="Calibri" w:hAnsi="Calibri" w:cs="Calibri"/>
          <w:b w:val="0"/>
          <w:bCs w:val="0"/>
          <w:iCs/>
          <w:color w:val="767171" w:themeColor="background2" w:themeShade="80"/>
          <w:sz w:val="26"/>
          <w:szCs w:val="26"/>
          <w:lang w:val="es-MX"/>
        </w:rPr>
        <w:lastRenderedPageBreak/>
        <w:t>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634A6A">
        <w:rPr>
          <w:rFonts w:ascii="Calibri" w:hAnsi="Calibri"/>
          <w:b/>
          <w:color w:val="7F7F7F" w:themeColor="text1" w:themeTint="80"/>
          <w:sz w:val="26"/>
          <w:szCs w:val="26"/>
        </w:rPr>
        <w:t xml:space="preserve">19 </w:t>
      </w:r>
      <w:r w:rsidR="00634A6A" w:rsidRPr="00576DB9">
        <w:rPr>
          <w:rFonts w:ascii="Calibri" w:hAnsi="Calibri"/>
          <w:color w:val="7F7F7F" w:themeColor="text1" w:themeTint="80"/>
          <w:sz w:val="26"/>
          <w:szCs w:val="26"/>
        </w:rPr>
        <w:t xml:space="preserve">diecinueve de </w:t>
      </w:r>
      <w:r w:rsidR="00634A6A">
        <w:rPr>
          <w:rFonts w:ascii="Calibri" w:hAnsi="Calibri"/>
          <w:b/>
          <w:color w:val="7F7F7F" w:themeColor="text1" w:themeTint="80"/>
          <w:sz w:val="26"/>
          <w:szCs w:val="26"/>
        </w:rPr>
        <w:t>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634A6A">
        <w:rPr>
          <w:rFonts w:ascii="Calibri" w:hAnsi="Calibri"/>
          <w:b/>
          <w:color w:val="7F7F7F" w:themeColor="text1" w:themeTint="80"/>
          <w:sz w:val="26"/>
          <w:szCs w:val="26"/>
        </w:rPr>
        <w:t>0514</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C35DD4">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C35DD4">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C35DD4">
        <w:rPr>
          <w:rFonts w:ascii="Calibri" w:hAnsi="Calibri"/>
          <w:color w:val="7F7F7F" w:themeColor="text1" w:themeTint="80"/>
          <w:sz w:val="26"/>
          <w:szCs w:val="26"/>
          <w:lang w:eastAsia="es-MX"/>
        </w:rPr>
        <w:t xml:space="preserve">. .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C35DD4">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C35DD4"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p>
    <w:p w:rsidR="00C35DD4" w:rsidRDefault="00C35DD4" w:rsidP="00C35DD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lastRenderedPageBreak/>
        <w:t>Expediente número 774/2015-JN</w:t>
      </w:r>
    </w:p>
    <w:p w:rsidR="00C35DD4" w:rsidRDefault="00C35DD4"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7D6748" w:rsidRDefault="007D6748" w:rsidP="009A23DB">
      <w:pPr>
        <w:pStyle w:val="Textoindependiente"/>
        <w:rPr>
          <w:rFonts w:ascii="Calibri" w:hAnsi="Calibri" w:cs="Arial"/>
          <w:color w:val="7F7F7F" w:themeColor="text1" w:themeTint="80"/>
          <w:sz w:val="26"/>
          <w:szCs w:val="26"/>
        </w:rPr>
      </w:pPr>
    </w:p>
    <w:p w:rsidR="007D6748" w:rsidRPr="007D6748" w:rsidRDefault="007D6748" w:rsidP="007D6748">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C35DD4">
        <w:rPr>
          <w:rFonts w:ascii="Calibri" w:hAnsi="Calibri" w:cs="Arial"/>
          <w:color w:val="7F7F7F" w:themeColor="text1" w:themeTint="80"/>
          <w:sz w:val="26"/>
          <w:szCs w:val="26"/>
        </w:rPr>
        <w:t xml:space="preserve">. . . . . . . . . . . . . . . . . . . . . . . . . . . . . . . . . . . . . . . . .  </w:t>
      </w:r>
    </w:p>
    <w:p w:rsidR="007D6748" w:rsidRPr="00C35DD4" w:rsidRDefault="007D6748" w:rsidP="007D6748">
      <w:pPr>
        <w:pStyle w:val="Textoindependiente"/>
        <w:rPr>
          <w:rFonts w:ascii="Calibri" w:hAnsi="Calibri"/>
          <w:color w:val="767171" w:themeColor="background2" w:themeShade="80"/>
          <w:sz w:val="26"/>
          <w:szCs w:val="26"/>
          <w:lang w:eastAsia="es-MX"/>
        </w:rPr>
      </w:pPr>
    </w:p>
    <w:p w:rsidR="007D6748" w:rsidRPr="00C35DD4" w:rsidRDefault="007D6748" w:rsidP="007D6748">
      <w:pPr>
        <w:pStyle w:val="Textoindependiente"/>
        <w:ind w:firstLine="708"/>
        <w:rPr>
          <w:rFonts w:ascii="Calibri" w:hAnsi="Calibri"/>
          <w:color w:val="767171" w:themeColor="background2" w:themeShade="80"/>
          <w:sz w:val="26"/>
          <w:szCs w:val="26"/>
          <w:lang w:eastAsia="es-MX"/>
        </w:rPr>
      </w:pPr>
      <w:r w:rsidRPr="00C35DD4">
        <w:rPr>
          <w:rFonts w:ascii="Calibri" w:hAnsi="Calibri"/>
          <w:color w:val="767171" w:themeColor="background2" w:themeShade="80"/>
          <w:sz w:val="26"/>
          <w:szCs w:val="26"/>
          <w:lang w:eastAsia="es-MX"/>
        </w:rPr>
        <w:t>a).- Tocante a la excepción de</w:t>
      </w:r>
      <w:r w:rsidRPr="00C35DD4">
        <w:rPr>
          <w:rFonts w:ascii="Calibri" w:hAnsi="Calibri"/>
          <w:i/>
          <w:color w:val="767171" w:themeColor="background2" w:themeShade="80"/>
          <w:sz w:val="26"/>
          <w:szCs w:val="26"/>
          <w:lang w:eastAsia="es-MX"/>
        </w:rPr>
        <w:t xml:space="preserve"> “Improcedencia”,</w:t>
      </w:r>
      <w:r w:rsidRPr="00C35DD4">
        <w:rPr>
          <w:rFonts w:ascii="Calibri" w:hAnsi="Calibri"/>
          <w:color w:val="767171" w:themeColor="background2" w:themeShade="80"/>
          <w:sz w:val="26"/>
          <w:szCs w:val="26"/>
          <w:lang w:eastAsia="es-MX"/>
        </w:rPr>
        <w:t xml:space="preserve"> no opera la misma, pues de acuerdo a lo razonado en el considerando Cuarto quedó plenamente establecida la procedencia del presente proceso. . . . . . . . . . . . . . . . . . . . . . . . . . . .</w:t>
      </w:r>
      <w:r w:rsidR="00C35DD4">
        <w:rPr>
          <w:rFonts w:ascii="Calibri" w:hAnsi="Calibri"/>
          <w:color w:val="767171" w:themeColor="background2" w:themeShade="80"/>
          <w:sz w:val="26"/>
          <w:szCs w:val="26"/>
          <w:lang w:eastAsia="es-MX"/>
        </w:rPr>
        <w:t xml:space="preserve"> . . . . . . . . . . .</w:t>
      </w:r>
    </w:p>
    <w:p w:rsidR="007D6748" w:rsidRPr="00207C8E" w:rsidRDefault="007D6748" w:rsidP="007D6748">
      <w:pPr>
        <w:pStyle w:val="Textoindependiente"/>
        <w:rPr>
          <w:rFonts w:ascii="Calibri" w:hAnsi="Calibri"/>
          <w:color w:val="000000" w:themeColor="text1"/>
          <w:sz w:val="26"/>
          <w:szCs w:val="26"/>
          <w:lang w:eastAsia="es-MX"/>
        </w:rPr>
      </w:pPr>
    </w:p>
    <w:p w:rsidR="007D6748" w:rsidRPr="00C35DD4" w:rsidRDefault="007D6748" w:rsidP="007D6748">
      <w:pPr>
        <w:pStyle w:val="Textoindependiente"/>
        <w:rPr>
          <w:rFonts w:ascii="Calibri" w:hAnsi="Calibri"/>
          <w:color w:val="767171" w:themeColor="background2" w:themeShade="80"/>
          <w:sz w:val="26"/>
          <w:szCs w:val="26"/>
          <w:lang w:eastAsia="es-MX"/>
        </w:rPr>
      </w:pPr>
      <w:r w:rsidRPr="00C35DD4">
        <w:rPr>
          <w:rFonts w:ascii="Calibri" w:hAnsi="Calibri"/>
          <w:color w:val="767171" w:themeColor="background2" w:themeShade="80"/>
          <w:sz w:val="26"/>
          <w:szCs w:val="26"/>
          <w:lang w:eastAsia="es-MX"/>
        </w:rPr>
        <w:tab/>
        <w:t xml:space="preserve">b).- En cuanto a la excepción de </w:t>
      </w:r>
      <w:r w:rsidRPr="00C35DD4">
        <w:rPr>
          <w:rFonts w:ascii="Calibri" w:hAnsi="Calibri"/>
          <w:i/>
          <w:color w:val="767171" w:themeColor="background2" w:themeShade="80"/>
          <w:sz w:val="26"/>
          <w:szCs w:val="26"/>
          <w:lang w:eastAsia="es-MX"/>
        </w:rPr>
        <w:t>“Falta de Acción y Carencia de Derecho”</w:t>
      </w:r>
      <w:r w:rsidRPr="00C35DD4">
        <w:rPr>
          <w:rFonts w:ascii="Calibri" w:hAnsi="Calibri"/>
          <w:color w:val="767171" w:themeColor="background2" w:themeShade="80"/>
          <w:sz w:val="26"/>
          <w:szCs w:val="26"/>
          <w:lang w:eastAsia="es-MX"/>
        </w:rPr>
        <w:t xml:space="preserve">, tampoco opera como excepción, pues está claro que la ciudadana </w:t>
      </w:r>
      <w:r w:rsidR="006E0627">
        <w:rPr>
          <w:rFonts w:ascii="Calibri" w:hAnsi="Calibri"/>
          <w:color w:val="767171" w:themeColor="background2" w:themeShade="80"/>
          <w:sz w:val="26"/>
          <w:szCs w:val="26"/>
          <w:lang w:eastAsia="es-MX"/>
        </w:rPr>
        <w:t>*****</w:t>
      </w:r>
      <w:r w:rsidRPr="00C35DD4">
        <w:rPr>
          <w:rFonts w:ascii="Calibri" w:hAnsi="Calibri"/>
          <w:color w:val="767171" w:themeColor="background2" w:themeShade="80"/>
          <w:sz w:val="26"/>
          <w:szCs w:val="26"/>
          <w:lang w:eastAsia="es-MX"/>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w:t>
      </w:r>
      <w:r w:rsidR="00C35DD4">
        <w:rPr>
          <w:rFonts w:ascii="Calibri" w:hAnsi="Calibri"/>
          <w:color w:val="767171" w:themeColor="background2" w:themeShade="80"/>
          <w:sz w:val="26"/>
          <w:szCs w:val="26"/>
          <w:lang w:eastAsia="es-MX"/>
        </w:rPr>
        <w:t xml:space="preserve"> y los Municipios de Guanajuato;</w:t>
      </w:r>
      <w:r w:rsidRPr="00C35DD4">
        <w:rPr>
          <w:rFonts w:ascii="Calibri" w:hAnsi="Calibri"/>
          <w:color w:val="767171" w:themeColor="background2" w:themeShade="80"/>
          <w:sz w:val="26"/>
          <w:szCs w:val="26"/>
          <w:lang w:eastAsia="es-MX"/>
        </w:rPr>
        <w:t xml:space="preserve">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w:t>
      </w:r>
      <w:r w:rsidRPr="00C35DD4">
        <w:rPr>
          <w:rFonts w:ascii="Calibri" w:hAnsi="Calibri"/>
          <w:color w:val="767171" w:themeColor="background2" w:themeShade="80"/>
          <w:sz w:val="26"/>
          <w:szCs w:val="26"/>
          <w:lang w:eastAsia="es-MX"/>
        </w:rPr>
        <w:lastRenderedPageBreak/>
        <w:t xml:space="preserve">Cuarto de este fallo, aunado a que la actora pretende la nulidad de los actos impugnados, lo que en la especie ya se dio. . . . . </w:t>
      </w:r>
      <w:r w:rsidR="00C35DD4">
        <w:rPr>
          <w:rFonts w:ascii="Calibri" w:hAnsi="Calibri"/>
          <w:color w:val="767171" w:themeColor="background2" w:themeShade="80"/>
          <w:sz w:val="26"/>
          <w:szCs w:val="26"/>
          <w:lang w:eastAsia="es-MX"/>
        </w:rPr>
        <w:t>. . . . . . . . . . . . . . . . . . . . .</w:t>
      </w:r>
      <w:r w:rsidRPr="00C35DD4">
        <w:rPr>
          <w:rFonts w:ascii="Calibri" w:hAnsi="Calibri"/>
          <w:color w:val="767171" w:themeColor="background2" w:themeShade="80"/>
          <w:sz w:val="26"/>
          <w:szCs w:val="26"/>
          <w:lang w:eastAsia="es-MX"/>
        </w:rPr>
        <w:t xml:space="preserve">      </w:t>
      </w:r>
    </w:p>
    <w:p w:rsidR="007D6748" w:rsidRPr="00207C8E" w:rsidRDefault="007D6748" w:rsidP="007D6748">
      <w:pPr>
        <w:pStyle w:val="Textoindependiente"/>
        <w:rPr>
          <w:rFonts w:ascii="Calibri" w:hAnsi="Calibri"/>
          <w:color w:val="000000" w:themeColor="text1"/>
          <w:sz w:val="26"/>
          <w:szCs w:val="26"/>
          <w:lang w:eastAsia="es-MX"/>
        </w:rPr>
      </w:pPr>
    </w:p>
    <w:p w:rsidR="007D6748" w:rsidRPr="00C35DD4" w:rsidRDefault="007D6748" w:rsidP="007D6748">
      <w:pPr>
        <w:pStyle w:val="Textoindependiente"/>
        <w:ind w:firstLine="708"/>
        <w:rPr>
          <w:rFonts w:ascii="Calibri" w:hAnsi="Calibri"/>
          <w:color w:val="767171" w:themeColor="background2" w:themeShade="80"/>
          <w:sz w:val="26"/>
          <w:szCs w:val="26"/>
          <w:lang w:eastAsia="es-MX"/>
        </w:rPr>
      </w:pPr>
      <w:r w:rsidRPr="00C35DD4">
        <w:rPr>
          <w:rFonts w:ascii="Calibri" w:hAnsi="Calibri"/>
          <w:color w:val="767171" w:themeColor="background2" w:themeShade="80"/>
          <w:sz w:val="26"/>
          <w:szCs w:val="26"/>
          <w:lang w:eastAsia="es-MX"/>
        </w:rPr>
        <w:t xml:space="preserve">c).- De igual manera tampoco opera la defensa de la </w:t>
      </w:r>
      <w:r w:rsidR="00C35DD4">
        <w:rPr>
          <w:rFonts w:ascii="Calibri" w:hAnsi="Calibri"/>
          <w:i/>
          <w:color w:val="767171" w:themeColor="background2" w:themeShade="80"/>
          <w:sz w:val="26"/>
          <w:szCs w:val="26"/>
          <w:lang w:eastAsia="es-MX"/>
        </w:rPr>
        <w:t xml:space="preserve">“Non </w:t>
      </w:r>
      <w:proofErr w:type="spellStart"/>
      <w:r w:rsidR="00C35DD4">
        <w:rPr>
          <w:rFonts w:ascii="Calibri" w:hAnsi="Calibri"/>
          <w:i/>
          <w:color w:val="767171" w:themeColor="background2" w:themeShade="80"/>
          <w:sz w:val="26"/>
          <w:szCs w:val="26"/>
          <w:lang w:eastAsia="es-MX"/>
        </w:rPr>
        <w:t>Mutati</w:t>
      </w:r>
      <w:proofErr w:type="spellEnd"/>
      <w:r w:rsidR="00C35DD4">
        <w:rPr>
          <w:rFonts w:ascii="Calibri" w:hAnsi="Calibri"/>
          <w:i/>
          <w:color w:val="767171" w:themeColor="background2" w:themeShade="80"/>
          <w:sz w:val="26"/>
          <w:szCs w:val="26"/>
          <w:lang w:eastAsia="es-MX"/>
        </w:rPr>
        <w:t xml:space="preserve"> </w:t>
      </w:r>
      <w:proofErr w:type="spellStart"/>
      <w:r w:rsidR="00C35DD4">
        <w:rPr>
          <w:rFonts w:ascii="Calibri" w:hAnsi="Calibri"/>
          <w:i/>
          <w:color w:val="767171" w:themeColor="background2" w:themeShade="80"/>
          <w:sz w:val="26"/>
          <w:szCs w:val="26"/>
          <w:lang w:eastAsia="es-MX"/>
        </w:rPr>
        <w:t>Libeli</w:t>
      </w:r>
      <w:proofErr w:type="spellEnd"/>
      <w:r w:rsidR="00C35DD4">
        <w:rPr>
          <w:rFonts w:ascii="Calibri" w:hAnsi="Calibri"/>
          <w:i/>
          <w:color w:val="767171" w:themeColor="background2" w:themeShade="80"/>
          <w:sz w:val="26"/>
          <w:szCs w:val="26"/>
          <w:lang w:eastAsia="es-MX"/>
        </w:rPr>
        <w:t>”;</w:t>
      </w:r>
      <w:r w:rsidRPr="00C35DD4">
        <w:rPr>
          <w:rFonts w:ascii="Calibri" w:hAnsi="Calibri"/>
          <w:color w:val="767171" w:themeColor="background2" w:themeShade="80"/>
          <w:sz w:val="26"/>
          <w:szCs w:val="26"/>
          <w:lang w:eastAsia="es-MX"/>
        </w:rPr>
        <w:t xml:space="preserve">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C35DD4">
        <w:rPr>
          <w:rFonts w:ascii="Calibri" w:hAnsi="Calibri"/>
          <w:color w:val="767171" w:themeColor="background2" w:themeShade="80"/>
          <w:sz w:val="26"/>
          <w:szCs w:val="26"/>
          <w:lang w:eastAsia="es-MX"/>
        </w:rPr>
        <w:t xml:space="preserve"> . . . . . . .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C35DD4">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C35DD4" w:rsidRPr="00BF5CA7" w:rsidRDefault="00C35DD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34A6A">
        <w:rPr>
          <w:rFonts w:ascii="Calibri" w:hAnsi="Calibri"/>
          <w:color w:val="7F7F7F" w:themeColor="text1" w:themeTint="80"/>
          <w:sz w:val="26"/>
          <w:szCs w:val="26"/>
        </w:rPr>
        <w:t>19 diecinueve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w:t>
      </w:r>
      <w:r w:rsidR="00FE78E6">
        <w:rPr>
          <w:rFonts w:ascii="Calibri" w:hAnsi="Calibri"/>
          <w:color w:val="7F7F7F" w:themeColor="text1" w:themeTint="80"/>
          <w:sz w:val="26"/>
          <w:szCs w:val="26"/>
        </w:rPr>
        <w:t>un bien mueble ubicado</w:t>
      </w:r>
      <w:r w:rsidRPr="00BF5CA7">
        <w:rPr>
          <w:rFonts w:ascii="Calibri" w:hAnsi="Calibri"/>
          <w:color w:val="7F7F7F" w:themeColor="text1" w:themeTint="80"/>
          <w:sz w:val="26"/>
          <w:szCs w:val="26"/>
        </w:rPr>
        <w:t xml:space="preserve"> en el interior del establecimiento visitado. . </w:t>
      </w:r>
      <w:r>
        <w:rPr>
          <w:rFonts w:ascii="Calibri" w:hAnsi="Calibri"/>
          <w:color w:val="7F7F7F" w:themeColor="text1" w:themeTint="80"/>
          <w:sz w:val="26"/>
          <w:szCs w:val="26"/>
        </w:rPr>
        <w:t xml:space="preserve">.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4A3DAD">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6E062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4A3DAD">
        <w:rPr>
          <w:rFonts w:ascii="Calibri" w:hAnsi="Calibri" w:cs="Arial"/>
          <w:color w:val="7F7F7F" w:themeColor="text1" w:themeTint="80"/>
          <w:sz w:val="26"/>
          <w:szCs w:val="26"/>
        </w:rPr>
        <w:t xml:space="preserve"> . . </w:t>
      </w:r>
    </w:p>
    <w:p w:rsidR="004B3DFC" w:rsidRPr="00BF5CA7" w:rsidRDefault="004B3DFC" w:rsidP="004B3DFC">
      <w:pPr>
        <w:jc w:val="both"/>
        <w:rPr>
          <w:rFonts w:ascii="Calibri" w:hAnsi="Calibri" w:cs="Arial"/>
          <w:b/>
          <w:bCs/>
          <w:color w:val="7F7F7F" w:themeColor="text1" w:themeTint="80"/>
          <w:sz w:val="22"/>
          <w:szCs w:val="22"/>
        </w:rPr>
      </w:pPr>
    </w:p>
    <w:p w:rsidR="004A3DAD" w:rsidRDefault="004A3DAD" w:rsidP="00832B72">
      <w:pPr>
        <w:ind w:firstLine="708"/>
        <w:jc w:val="both"/>
        <w:rPr>
          <w:rFonts w:ascii="Calibri" w:hAnsi="Calibri" w:cs="Arial"/>
          <w:b/>
          <w:bCs/>
          <w:i/>
          <w:iCs/>
          <w:color w:val="7F7F7F" w:themeColor="text1" w:themeTint="80"/>
          <w:sz w:val="26"/>
          <w:szCs w:val="26"/>
        </w:rPr>
      </w:pPr>
    </w:p>
    <w:p w:rsidR="004A3DAD" w:rsidRDefault="004A3DAD" w:rsidP="004A3DA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774/2015-JN</w:t>
      </w:r>
    </w:p>
    <w:p w:rsidR="004A3DAD" w:rsidRDefault="004A3DAD" w:rsidP="00832B72">
      <w:pPr>
        <w:ind w:firstLine="708"/>
        <w:jc w:val="both"/>
        <w:rPr>
          <w:rFonts w:ascii="Calibri" w:hAnsi="Calibri" w:cs="Arial"/>
          <w:b/>
          <w:bCs/>
          <w:i/>
          <w:iCs/>
          <w:color w:val="7F7F7F" w:themeColor="text1" w:themeTint="80"/>
          <w:sz w:val="26"/>
          <w:szCs w:val="26"/>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634A6A">
        <w:rPr>
          <w:rFonts w:ascii="Calibri" w:hAnsi="Calibri"/>
          <w:b/>
          <w:color w:val="7F7F7F" w:themeColor="text1" w:themeTint="80"/>
          <w:sz w:val="26"/>
          <w:szCs w:val="26"/>
        </w:rPr>
        <w:t xml:space="preserve">19 </w:t>
      </w:r>
      <w:r w:rsidR="00634A6A" w:rsidRPr="00FE78E6">
        <w:rPr>
          <w:rFonts w:ascii="Calibri" w:hAnsi="Calibri"/>
          <w:color w:val="7F7F7F" w:themeColor="text1" w:themeTint="80"/>
          <w:sz w:val="26"/>
          <w:szCs w:val="26"/>
        </w:rPr>
        <w:t>diecinueve de</w:t>
      </w:r>
      <w:r w:rsidR="00634A6A">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634A6A">
        <w:rPr>
          <w:rFonts w:ascii="Calibri" w:hAnsi="Calibri"/>
          <w:b/>
          <w:color w:val="7F7F7F" w:themeColor="text1" w:themeTint="80"/>
          <w:sz w:val="26"/>
          <w:szCs w:val="26"/>
        </w:rPr>
        <w:t>0514</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w:t>
      </w:r>
      <w:r w:rsidR="004A3DAD">
        <w:rPr>
          <w:rFonts w:ascii="Calibri" w:hAnsi="Calibri"/>
          <w:color w:val="7F7F7F" w:themeColor="text1" w:themeTint="80"/>
          <w:sz w:val="26"/>
          <w:szCs w:val="26"/>
        </w:rPr>
        <w:t>tal orden</w:t>
      </w:r>
      <w:r w:rsidR="00EA4780">
        <w:rPr>
          <w:rFonts w:ascii="Calibri" w:hAnsi="Calibri"/>
          <w:color w:val="7F7F7F" w:themeColor="text1" w:themeTint="80"/>
          <w:sz w:val="26"/>
          <w:szCs w:val="26"/>
        </w:rPr>
        <w:t xml:space="preserv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 </w:t>
      </w:r>
      <w:r w:rsidR="004A3DAD">
        <w:rPr>
          <w:rFonts w:ascii="Calibri" w:hAnsi="Calibri" w:cs="Arial"/>
          <w:color w:val="7F7F7F" w:themeColor="text1" w:themeTint="80"/>
          <w:sz w:val="26"/>
          <w:szCs w:val="26"/>
        </w:rPr>
        <w:t xml:space="preserve">.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634A6A">
        <w:rPr>
          <w:rFonts w:ascii="Calibri" w:hAnsi="Calibri"/>
          <w:color w:val="7F7F7F" w:themeColor="text1" w:themeTint="80"/>
          <w:sz w:val="26"/>
          <w:szCs w:val="26"/>
        </w:rPr>
        <w:t>19 diecinueve de agosto</w:t>
      </w:r>
      <w:r w:rsidR="008E0AB6" w:rsidRPr="00BF5CA7">
        <w:rPr>
          <w:rFonts w:ascii="Calibri" w:hAnsi="Calibri"/>
          <w:color w:val="7F7F7F" w:themeColor="text1" w:themeTint="80"/>
          <w:sz w:val="26"/>
          <w:szCs w:val="26"/>
        </w:rPr>
        <w:t xml:space="preserve"> del año 2015 dos mil quince, sobre </w:t>
      </w:r>
      <w:r w:rsidR="00FE78E6">
        <w:rPr>
          <w:rFonts w:ascii="Calibri" w:hAnsi="Calibri"/>
          <w:color w:val="7F7F7F" w:themeColor="text1" w:themeTint="80"/>
          <w:sz w:val="26"/>
          <w:szCs w:val="26"/>
        </w:rPr>
        <w:t xml:space="preserve">un bien mueble localizado </w:t>
      </w:r>
      <w:r w:rsidR="008E0AB6" w:rsidRPr="00BF5CA7">
        <w:rPr>
          <w:rFonts w:ascii="Calibri" w:hAnsi="Calibri"/>
          <w:color w:val="7F7F7F" w:themeColor="text1" w:themeTint="80"/>
          <w:sz w:val="26"/>
          <w:szCs w:val="26"/>
        </w:rPr>
        <w:t xml:space="preserve">en el interior del establecimiento localizado </w:t>
      </w:r>
      <w:bookmarkStart w:id="0" w:name="_GoBack"/>
      <w:r w:rsidR="006422C5">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4A3DAD">
        <w:rPr>
          <w:rFonts w:ascii="Calibri" w:hAnsi="Calibri" w:cs="Calibri"/>
          <w:color w:val="7F7F7F" w:themeColor="text1" w:themeTint="80"/>
          <w:sz w:val="26"/>
          <w:szCs w:val="26"/>
        </w:rPr>
        <w:t xml:space="preserve">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0D7D93">
        <w:rPr>
          <w:rFonts w:ascii="Calibri" w:hAnsi="Calibri" w:cs="Arial"/>
          <w:color w:val="7F7F7F" w:themeColor="text1" w:themeTint="80"/>
          <w:sz w:val="26"/>
          <w:szCs w:val="26"/>
        </w:rPr>
        <w:t xml:space="preserve">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916054">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6C" w:rsidRDefault="00E2486C">
      <w:r>
        <w:separator/>
      </w:r>
    </w:p>
  </w:endnote>
  <w:endnote w:type="continuationSeparator" w:id="0">
    <w:p w:rsidR="00E2486C" w:rsidRDefault="00E2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6C" w:rsidRDefault="00E2486C">
      <w:r>
        <w:separator/>
      </w:r>
    </w:p>
  </w:footnote>
  <w:footnote w:type="continuationSeparator" w:id="0">
    <w:p w:rsidR="00E2486C" w:rsidRDefault="00E24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E248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22C5">
      <w:rPr>
        <w:rStyle w:val="Nmerodepgina"/>
        <w:noProof/>
      </w:rPr>
      <w:t>2</w:t>
    </w:r>
    <w:r>
      <w:rPr>
        <w:rStyle w:val="Nmerodepgina"/>
      </w:rPr>
      <w:fldChar w:fldCharType="end"/>
    </w:r>
  </w:p>
  <w:p w:rsidR="00A70119" w:rsidRDefault="00E24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949"/>
    <w:rsid w:val="00012BEF"/>
    <w:rsid w:val="00014356"/>
    <w:rsid w:val="000314EF"/>
    <w:rsid w:val="00074B0E"/>
    <w:rsid w:val="000909AE"/>
    <w:rsid w:val="00092798"/>
    <w:rsid w:val="000954F8"/>
    <w:rsid w:val="000A20E0"/>
    <w:rsid w:val="000A4ED3"/>
    <w:rsid w:val="000B4397"/>
    <w:rsid w:val="000C6B3D"/>
    <w:rsid w:val="000D6D33"/>
    <w:rsid w:val="000D7D93"/>
    <w:rsid w:val="000E019D"/>
    <w:rsid w:val="000F12ED"/>
    <w:rsid w:val="0010353E"/>
    <w:rsid w:val="00114938"/>
    <w:rsid w:val="00134594"/>
    <w:rsid w:val="00140A1C"/>
    <w:rsid w:val="00143447"/>
    <w:rsid w:val="00163A25"/>
    <w:rsid w:val="0018462E"/>
    <w:rsid w:val="00193C54"/>
    <w:rsid w:val="001C1EB4"/>
    <w:rsid w:val="001D1A54"/>
    <w:rsid w:val="001E492B"/>
    <w:rsid w:val="00202A4D"/>
    <w:rsid w:val="00212176"/>
    <w:rsid w:val="00231AD0"/>
    <w:rsid w:val="00245DB1"/>
    <w:rsid w:val="002802A8"/>
    <w:rsid w:val="002919BC"/>
    <w:rsid w:val="00295DA4"/>
    <w:rsid w:val="002974BB"/>
    <w:rsid w:val="002A57C2"/>
    <w:rsid w:val="00331F7C"/>
    <w:rsid w:val="00343E70"/>
    <w:rsid w:val="00345365"/>
    <w:rsid w:val="00355D69"/>
    <w:rsid w:val="00363074"/>
    <w:rsid w:val="00365D32"/>
    <w:rsid w:val="0038550B"/>
    <w:rsid w:val="003B6298"/>
    <w:rsid w:val="003C319B"/>
    <w:rsid w:val="003D0B6B"/>
    <w:rsid w:val="003F0CFE"/>
    <w:rsid w:val="0041005A"/>
    <w:rsid w:val="00425FD8"/>
    <w:rsid w:val="004328C1"/>
    <w:rsid w:val="00436BB1"/>
    <w:rsid w:val="0047616C"/>
    <w:rsid w:val="0047708E"/>
    <w:rsid w:val="0049794B"/>
    <w:rsid w:val="004A3DAD"/>
    <w:rsid w:val="004A41DC"/>
    <w:rsid w:val="004B3DFC"/>
    <w:rsid w:val="004C212B"/>
    <w:rsid w:val="004E2B17"/>
    <w:rsid w:val="00562A66"/>
    <w:rsid w:val="00562F72"/>
    <w:rsid w:val="00576DB9"/>
    <w:rsid w:val="00577C15"/>
    <w:rsid w:val="005820E3"/>
    <w:rsid w:val="005A1EAD"/>
    <w:rsid w:val="005C1EF8"/>
    <w:rsid w:val="005D15CD"/>
    <w:rsid w:val="005F287E"/>
    <w:rsid w:val="00605465"/>
    <w:rsid w:val="006071F6"/>
    <w:rsid w:val="006251F7"/>
    <w:rsid w:val="00630E60"/>
    <w:rsid w:val="00634A6A"/>
    <w:rsid w:val="0064042F"/>
    <w:rsid w:val="006422C5"/>
    <w:rsid w:val="00645D47"/>
    <w:rsid w:val="00652205"/>
    <w:rsid w:val="00656D08"/>
    <w:rsid w:val="00684D24"/>
    <w:rsid w:val="00685ED2"/>
    <w:rsid w:val="00687C58"/>
    <w:rsid w:val="006B0FF3"/>
    <w:rsid w:val="006D41F4"/>
    <w:rsid w:val="006E0627"/>
    <w:rsid w:val="006E1F7A"/>
    <w:rsid w:val="006E5AA9"/>
    <w:rsid w:val="006F3DF8"/>
    <w:rsid w:val="006F63DA"/>
    <w:rsid w:val="006F74D0"/>
    <w:rsid w:val="0070292F"/>
    <w:rsid w:val="00706056"/>
    <w:rsid w:val="00711C4D"/>
    <w:rsid w:val="0072433C"/>
    <w:rsid w:val="00736742"/>
    <w:rsid w:val="00761C12"/>
    <w:rsid w:val="00765DB9"/>
    <w:rsid w:val="00781737"/>
    <w:rsid w:val="00784CB8"/>
    <w:rsid w:val="007926D3"/>
    <w:rsid w:val="007B3DCF"/>
    <w:rsid w:val="007C239E"/>
    <w:rsid w:val="007D01BD"/>
    <w:rsid w:val="007D6748"/>
    <w:rsid w:val="007D67C9"/>
    <w:rsid w:val="007F3999"/>
    <w:rsid w:val="0080464C"/>
    <w:rsid w:val="008063DD"/>
    <w:rsid w:val="00832B72"/>
    <w:rsid w:val="00833B37"/>
    <w:rsid w:val="00834317"/>
    <w:rsid w:val="00882A95"/>
    <w:rsid w:val="008A3C6D"/>
    <w:rsid w:val="008A53D5"/>
    <w:rsid w:val="008A5D63"/>
    <w:rsid w:val="008B535A"/>
    <w:rsid w:val="008B6F66"/>
    <w:rsid w:val="008C282C"/>
    <w:rsid w:val="008C61C6"/>
    <w:rsid w:val="008E0AB6"/>
    <w:rsid w:val="008F0CF4"/>
    <w:rsid w:val="00916054"/>
    <w:rsid w:val="00920B03"/>
    <w:rsid w:val="009429E2"/>
    <w:rsid w:val="00944D61"/>
    <w:rsid w:val="009466BA"/>
    <w:rsid w:val="00951162"/>
    <w:rsid w:val="00951532"/>
    <w:rsid w:val="009661F2"/>
    <w:rsid w:val="0097123C"/>
    <w:rsid w:val="00981D66"/>
    <w:rsid w:val="0098360E"/>
    <w:rsid w:val="00992C9C"/>
    <w:rsid w:val="009964FC"/>
    <w:rsid w:val="009A23DB"/>
    <w:rsid w:val="009A50BE"/>
    <w:rsid w:val="009A62DD"/>
    <w:rsid w:val="009A69D8"/>
    <w:rsid w:val="009B4FBA"/>
    <w:rsid w:val="009B62F8"/>
    <w:rsid w:val="009E10FA"/>
    <w:rsid w:val="009E15DC"/>
    <w:rsid w:val="009F7DEE"/>
    <w:rsid w:val="00A02F6E"/>
    <w:rsid w:val="00A05DEB"/>
    <w:rsid w:val="00A141A8"/>
    <w:rsid w:val="00A17A21"/>
    <w:rsid w:val="00A217CD"/>
    <w:rsid w:val="00A22410"/>
    <w:rsid w:val="00A2407A"/>
    <w:rsid w:val="00A2439F"/>
    <w:rsid w:val="00A302BA"/>
    <w:rsid w:val="00A32EE2"/>
    <w:rsid w:val="00A34648"/>
    <w:rsid w:val="00A57007"/>
    <w:rsid w:val="00A7770B"/>
    <w:rsid w:val="00A8545F"/>
    <w:rsid w:val="00A97819"/>
    <w:rsid w:val="00A97A65"/>
    <w:rsid w:val="00AA3413"/>
    <w:rsid w:val="00AB7C8F"/>
    <w:rsid w:val="00AC0DF3"/>
    <w:rsid w:val="00AC206B"/>
    <w:rsid w:val="00AC308A"/>
    <w:rsid w:val="00AE1A6F"/>
    <w:rsid w:val="00AE3E7D"/>
    <w:rsid w:val="00B05B82"/>
    <w:rsid w:val="00B106D7"/>
    <w:rsid w:val="00B427DE"/>
    <w:rsid w:val="00B62C7B"/>
    <w:rsid w:val="00B62D66"/>
    <w:rsid w:val="00B65360"/>
    <w:rsid w:val="00B75A23"/>
    <w:rsid w:val="00B75DD6"/>
    <w:rsid w:val="00BB36E8"/>
    <w:rsid w:val="00BC0562"/>
    <w:rsid w:val="00BC384C"/>
    <w:rsid w:val="00BC5DA4"/>
    <w:rsid w:val="00BE224D"/>
    <w:rsid w:val="00BF0BF6"/>
    <w:rsid w:val="00BF6197"/>
    <w:rsid w:val="00C01359"/>
    <w:rsid w:val="00C10076"/>
    <w:rsid w:val="00C10164"/>
    <w:rsid w:val="00C22DC8"/>
    <w:rsid w:val="00C35DD4"/>
    <w:rsid w:val="00C464F2"/>
    <w:rsid w:val="00C46636"/>
    <w:rsid w:val="00C72228"/>
    <w:rsid w:val="00C73B77"/>
    <w:rsid w:val="00C83C9A"/>
    <w:rsid w:val="00CA2C14"/>
    <w:rsid w:val="00CE396D"/>
    <w:rsid w:val="00CF7B38"/>
    <w:rsid w:val="00D1202C"/>
    <w:rsid w:val="00D148D3"/>
    <w:rsid w:val="00D14E8F"/>
    <w:rsid w:val="00D30188"/>
    <w:rsid w:val="00D4766E"/>
    <w:rsid w:val="00D61484"/>
    <w:rsid w:val="00D77803"/>
    <w:rsid w:val="00D77879"/>
    <w:rsid w:val="00D77B11"/>
    <w:rsid w:val="00DB641E"/>
    <w:rsid w:val="00DE0314"/>
    <w:rsid w:val="00DF3DD6"/>
    <w:rsid w:val="00DF7D13"/>
    <w:rsid w:val="00E0072D"/>
    <w:rsid w:val="00E04F53"/>
    <w:rsid w:val="00E16C1B"/>
    <w:rsid w:val="00E2486C"/>
    <w:rsid w:val="00E2492D"/>
    <w:rsid w:val="00E31BEB"/>
    <w:rsid w:val="00E50512"/>
    <w:rsid w:val="00E5089A"/>
    <w:rsid w:val="00E54AA9"/>
    <w:rsid w:val="00E6049F"/>
    <w:rsid w:val="00E77635"/>
    <w:rsid w:val="00E77C68"/>
    <w:rsid w:val="00E83986"/>
    <w:rsid w:val="00E950DE"/>
    <w:rsid w:val="00E959B2"/>
    <w:rsid w:val="00EA36B8"/>
    <w:rsid w:val="00EA4780"/>
    <w:rsid w:val="00EC7D6A"/>
    <w:rsid w:val="00ED20A3"/>
    <w:rsid w:val="00EE4879"/>
    <w:rsid w:val="00F26FE3"/>
    <w:rsid w:val="00F52045"/>
    <w:rsid w:val="00F54858"/>
    <w:rsid w:val="00F95626"/>
    <w:rsid w:val="00F95EF2"/>
    <w:rsid w:val="00FA04C4"/>
    <w:rsid w:val="00FA3FDB"/>
    <w:rsid w:val="00FA5C47"/>
    <w:rsid w:val="00FA79FD"/>
    <w:rsid w:val="00FB227A"/>
    <w:rsid w:val="00FB6D86"/>
    <w:rsid w:val="00FC2718"/>
    <w:rsid w:val="00FC2859"/>
    <w:rsid w:val="00FC6D4E"/>
    <w:rsid w:val="00FD5D57"/>
    <w:rsid w:val="00FE0434"/>
    <w:rsid w:val="00FE0446"/>
    <w:rsid w:val="00FE6FD0"/>
    <w:rsid w:val="00FE78E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64229167">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613249657">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65431551">
      <w:bodyDiv w:val="1"/>
      <w:marLeft w:val="0"/>
      <w:marRight w:val="0"/>
      <w:marTop w:val="0"/>
      <w:marBottom w:val="0"/>
      <w:divBdr>
        <w:top w:val="none" w:sz="0" w:space="0" w:color="auto"/>
        <w:left w:val="none" w:sz="0" w:space="0" w:color="auto"/>
        <w:bottom w:val="none" w:sz="0" w:space="0" w:color="auto"/>
        <w:right w:val="none" w:sz="0" w:space="0" w:color="auto"/>
      </w:divBdr>
    </w:div>
    <w:div w:id="1338967293">
      <w:bodyDiv w:val="1"/>
      <w:marLeft w:val="0"/>
      <w:marRight w:val="0"/>
      <w:marTop w:val="0"/>
      <w:marBottom w:val="0"/>
      <w:divBdr>
        <w:top w:val="none" w:sz="0" w:space="0" w:color="auto"/>
        <w:left w:val="none" w:sz="0" w:space="0" w:color="auto"/>
        <w:bottom w:val="none" w:sz="0" w:space="0" w:color="auto"/>
        <w:right w:val="none" w:sz="0" w:space="0" w:color="auto"/>
      </w:divBdr>
    </w:div>
    <w:div w:id="17225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4746</Words>
  <Characters>26108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2017-04-28T16:34:00Z</dcterms:created>
  <dcterms:modified xsi:type="dcterms:W3CDTF">2017-04-28T16:34:00Z</dcterms:modified>
</cp:coreProperties>
</file>